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DC0158" w:rsidP="00734EC6">
      <w:pPr>
        <w:jc w:val="center"/>
        <w:rPr>
          <w:sz w:val="28"/>
        </w:rPr>
      </w:pPr>
      <w:proofErr w:type="gramStart"/>
      <w:r>
        <w:rPr>
          <w:sz w:val="28"/>
        </w:rPr>
        <w:t xml:space="preserve">27.09.2023 </w:t>
      </w:r>
      <w:r w:rsidR="006902B7">
        <w:rPr>
          <w:sz w:val="28"/>
        </w:rPr>
        <w:t xml:space="preserve"> №</w:t>
      </w:r>
      <w:proofErr w:type="gramEnd"/>
      <w:r w:rsidR="00227262">
        <w:rPr>
          <w:sz w:val="28"/>
        </w:rPr>
        <w:t xml:space="preserve"> </w:t>
      </w:r>
      <w:r>
        <w:rPr>
          <w:sz w:val="28"/>
        </w:rPr>
        <w:t xml:space="preserve"> 1015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467A3C" w:rsidRDefault="00C346F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AB4B6D">
        <w:rPr>
          <w:sz w:val="28"/>
          <w:szCs w:val="28"/>
        </w:rPr>
        <w:t>, от 14.03.2023 № </w:t>
      </w:r>
      <w:r w:rsidR="007771BD">
        <w:rPr>
          <w:sz w:val="28"/>
          <w:szCs w:val="28"/>
        </w:rPr>
        <w:t>259</w:t>
      </w:r>
      <w:r w:rsidR="00AB4B6D">
        <w:rPr>
          <w:sz w:val="28"/>
          <w:szCs w:val="28"/>
        </w:rPr>
        <w:noBreakHyphen/>
      </w:r>
      <w:r w:rsidR="006446C6">
        <w:rPr>
          <w:sz w:val="28"/>
          <w:szCs w:val="28"/>
        </w:rPr>
        <w:t>ПГ</w:t>
      </w:r>
      <w:r w:rsidR="006C2FE2">
        <w:rPr>
          <w:sz w:val="28"/>
          <w:szCs w:val="28"/>
        </w:rPr>
        <w:t>, от 14.06.2023 № 598-ПГ</w:t>
      </w:r>
      <w:r w:rsidR="00567521">
        <w:rPr>
          <w:sz w:val="28"/>
          <w:szCs w:val="28"/>
        </w:rPr>
        <w:t>, от 27.06.2023 № 636-ПГ</w:t>
      </w:r>
      <w:r w:rsidR="00AB4B6D">
        <w:rPr>
          <w:sz w:val="28"/>
          <w:szCs w:val="28"/>
        </w:rPr>
        <w:t xml:space="preserve">, от </w:t>
      </w:r>
      <w:r w:rsidR="00F60668">
        <w:rPr>
          <w:sz w:val="28"/>
          <w:szCs w:val="28"/>
        </w:rPr>
        <w:t>22.08.202</w:t>
      </w:r>
      <w:r w:rsidR="00AB4B6D">
        <w:rPr>
          <w:sz w:val="28"/>
          <w:szCs w:val="28"/>
        </w:rPr>
        <w:t>3 № 835</w:t>
      </w:r>
      <w:r w:rsidR="00AB4B6D">
        <w:rPr>
          <w:sz w:val="28"/>
          <w:szCs w:val="28"/>
        </w:rPr>
        <w:noBreakHyphen/>
      </w:r>
      <w:r w:rsidR="00F60668">
        <w:rPr>
          <w:sz w:val="28"/>
          <w:szCs w:val="28"/>
        </w:rPr>
        <w:t>ПГ</w:t>
      </w:r>
      <w:r w:rsidR="00AB4B6D">
        <w:rPr>
          <w:sz w:val="28"/>
          <w:szCs w:val="28"/>
        </w:rPr>
        <w:t>, от 28.08.2023 № 869-ПГ, от 12.09.2023 № 929-ПГ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7D3D13" w:rsidRDefault="007D3D1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Пункт 1 «Паспорт муниципальной программы» изложить в новой редакции (приложение 1).</w:t>
      </w:r>
    </w:p>
    <w:p w:rsidR="0006207F" w:rsidRPr="00567521" w:rsidRDefault="009637FE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1</w:t>
      </w:r>
      <w:r w:rsidR="007D3D13">
        <w:rPr>
          <w:sz w:val="28"/>
          <w:szCs w:val="28"/>
          <w:highlight w:val="white"/>
        </w:rPr>
        <w:t>.2</w:t>
      </w:r>
      <w:r>
        <w:rPr>
          <w:sz w:val="28"/>
          <w:szCs w:val="28"/>
          <w:highlight w:val="white"/>
        </w:rPr>
        <w:t xml:space="preserve">. </w:t>
      </w:r>
      <w:r w:rsidR="00E01CF4">
        <w:rPr>
          <w:bCs/>
          <w:sz w:val="28"/>
          <w:szCs w:val="28"/>
        </w:rPr>
        <w:t xml:space="preserve"> </w:t>
      </w:r>
      <w:r w:rsidR="0006207F">
        <w:rPr>
          <w:bCs/>
          <w:sz w:val="28"/>
          <w:szCs w:val="28"/>
        </w:rPr>
        <w:t>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</w:t>
      </w:r>
      <w:r w:rsidR="006446C6">
        <w:rPr>
          <w:bCs/>
          <w:sz w:val="28"/>
          <w:szCs w:val="28"/>
        </w:rPr>
        <w:t>приложение</w:t>
      </w:r>
      <w:r w:rsidR="007D3D13">
        <w:rPr>
          <w:bCs/>
          <w:sz w:val="28"/>
          <w:szCs w:val="28"/>
        </w:rPr>
        <w:t xml:space="preserve"> 2</w:t>
      </w:r>
      <w:r w:rsidR="006446C6">
        <w:rPr>
          <w:bCs/>
          <w:sz w:val="28"/>
          <w:szCs w:val="28"/>
        </w:rPr>
        <w:t>)</w:t>
      </w:r>
      <w:r w:rsidR="0006207F">
        <w:rPr>
          <w:bCs/>
          <w:sz w:val="28"/>
          <w:szCs w:val="28"/>
        </w:rPr>
        <w:t>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DC0158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DC0158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DC0158" w:rsidRPr="00DC0158" w:rsidTr="00DC0158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DC0158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DC0158" w:rsidRPr="00DC0158" w:rsidTr="00DC0158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DC0158">
              <w:rPr>
                <w:color w:val="000000"/>
                <w:sz w:val="24"/>
                <w:szCs w:val="24"/>
                <w:lang w:eastAsia="ru-RU" w:bidi="ar-SA"/>
              </w:rPr>
              <w:t>к постановлению главы городского округа Котельники Московской обла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сти                          от 27.09.2023 </w:t>
            </w:r>
            <w:r w:rsidRPr="00DC0158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1015 – ПГ</w:t>
            </w:r>
          </w:p>
        </w:tc>
      </w:tr>
      <w:tr w:rsidR="00DC0158" w:rsidRPr="00DC0158" w:rsidTr="00DC0158">
        <w:trPr>
          <w:trHeight w:val="28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DC0158" w:rsidRPr="00DC0158" w:rsidTr="00DC0158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DC0158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DC0158" w:rsidRPr="00DC0158" w:rsidTr="00DC0158">
        <w:trPr>
          <w:trHeight w:val="5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DC0158" w:rsidRPr="00DC0158" w:rsidTr="00DC0158">
        <w:trPr>
          <w:trHeight w:val="13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DC0158" w:rsidRPr="00DC0158" w:rsidTr="00DC0158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DC0158" w:rsidRPr="00DC0158" w:rsidTr="00DC0158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DC0158" w:rsidRPr="00DC0158" w:rsidTr="00DC0158">
        <w:trPr>
          <w:trHeight w:val="203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DC0158" w:rsidRPr="00DC0158" w:rsidTr="00DC0158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DC0158" w:rsidRPr="00DC0158" w:rsidTr="00DC0158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DC0158" w:rsidRPr="00DC0158" w:rsidTr="00DC0158">
        <w:trPr>
          <w:trHeight w:val="942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</w:t>
            </w:r>
            <w:proofErr w:type="spellStart"/>
            <w:r w:rsidRPr="00DC0158">
              <w:rPr>
                <w:color w:val="000000"/>
                <w:sz w:val="22"/>
                <w:lang w:eastAsia="ru-RU" w:bidi="ar-SA"/>
              </w:rPr>
              <w:t>развиитя</w:t>
            </w:r>
            <w:proofErr w:type="spellEnd"/>
            <w:r w:rsidRPr="00DC0158">
              <w:rPr>
                <w:color w:val="000000"/>
                <w:sz w:val="22"/>
                <w:lang w:eastAsia="ru-RU" w:bidi="ar-SA"/>
              </w:rPr>
              <w:t xml:space="preserve"> экономики городского округа Котельники Московской </w:t>
            </w:r>
            <w:proofErr w:type="spellStart"/>
            <w:r w:rsidRPr="00DC0158">
              <w:rPr>
                <w:color w:val="000000"/>
                <w:sz w:val="22"/>
                <w:lang w:eastAsia="ru-RU" w:bidi="ar-SA"/>
              </w:rPr>
              <w:t>области,внедрения</w:t>
            </w:r>
            <w:proofErr w:type="spellEnd"/>
            <w:r w:rsidRPr="00DC0158">
              <w:rPr>
                <w:color w:val="000000"/>
                <w:sz w:val="22"/>
                <w:lang w:eastAsia="ru-RU" w:bidi="ar-SA"/>
              </w:rPr>
              <w:t xml:space="preserve">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DC0158" w:rsidRPr="00DC0158" w:rsidTr="00DC0158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DC0158" w:rsidRPr="00DC0158" w:rsidTr="00DC0158">
        <w:trPr>
          <w:trHeight w:val="136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DC0158" w:rsidRPr="00DC0158" w:rsidTr="00DC0158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DC0158" w:rsidRPr="00DC0158" w:rsidTr="00DC0158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DC0158" w:rsidRPr="00DC0158" w:rsidTr="00DC0158">
        <w:trPr>
          <w:trHeight w:val="18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2 052 878,21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813 832,67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618 799,50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620 246,04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DC0158" w:rsidRPr="00DC0158" w:rsidTr="00DC0158">
        <w:trPr>
          <w:trHeight w:val="34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749 978,10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289 964,81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229 876,15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230 137,14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DC0158" w:rsidRPr="00DC0158" w:rsidTr="00DC0158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DC0158" w:rsidRPr="00DC0158" w:rsidTr="00DC0158">
        <w:trPr>
          <w:trHeight w:val="12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77 515,86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25 476,40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25 568,50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26 470,96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DC0158" w:rsidRPr="00DC0158" w:rsidTr="00DC0158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2 880 372,17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1 129 273,88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874 244,15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876 854,14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DC015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DC0158" w:rsidRDefault="00DC0158" w:rsidP="00DC0158">
      <w:pPr>
        <w:pStyle w:val="ConsPlusCell"/>
        <w:pBdr>
          <w:top w:val="none" w:sz="4" w:space="30" w:color="000000"/>
        </w:pBdr>
        <w:jc w:val="both"/>
        <w:rPr>
          <w:rFonts w:ascii="Times New Roman" w:hAnsi="Times New Roman"/>
          <w:sz w:val="28"/>
          <w:szCs w:val="28"/>
        </w:rPr>
        <w:sectPr w:rsidR="00DC0158" w:rsidSect="00DC0158">
          <w:pgSz w:w="16838" w:h="11906" w:orient="landscape"/>
          <w:pgMar w:top="709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16"/>
        <w:gridCol w:w="2740"/>
        <w:gridCol w:w="1324"/>
        <w:gridCol w:w="1647"/>
        <w:gridCol w:w="948"/>
        <w:gridCol w:w="730"/>
        <w:gridCol w:w="537"/>
        <w:gridCol w:w="518"/>
        <w:gridCol w:w="516"/>
        <w:gridCol w:w="556"/>
        <w:gridCol w:w="948"/>
        <w:gridCol w:w="817"/>
        <w:gridCol w:w="817"/>
        <w:gridCol w:w="742"/>
        <w:gridCol w:w="1902"/>
      </w:tblGrid>
      <w:tr w:rsidR="00DC0158" w:rsidRPr="00DC0158" w:rsidTr="002E5AD1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2E5AD1">
              <w:rPr>
                <w:color w:val="000000"/>
                <w:sz w:val="24"/>
                <w:szCs w:val="20"/>
                <w:lang w:eastAsia="ru-RU" w:bidi="ar-SA"/>
              </w:rPr>
              <w:t>Приложение 2</w:t>
            </w:r>
          </w:p>
        </w:tc>
      </w:tr>
      <w:tr w:rsidR="00DC0158" w:rsidRPr="00DC0158" w:rsidTr="002E5AD1">
        <w:trPr>
          <w:trHeight w:val="7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DC015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158" w:rsidRPr="002E5AD1" w:rsidRDefault="00DC0158" w:rsidP="002E5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2E5AD1">
              <w:rPr>
                <w:color w:val="000000"/>
                <w:sz w:val="24"/>
                <w:szCs w:val="20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                                  от </w:t>
            </w:r>
            <w:r w:rsidR="002E5AD1" w:rsidRPr="002E5AD1">
              <w:rPr>
                <w:color w:val="000000"/>
                <w:sz w:val="24"/>
                <w:szCs w:val="20"/>
                <w:lang w:eastAsia="ru-RU" w:bidi="ar-SA"/>
              </w:rPr>
              <w:t xml:space="preserve">27.09.2023 </w:t>
            </w:r>
            <w:r w:rsidRPr="002E5AD1">
              <w:rPr>
                <w:color w:val="000000"/>
                <w:sz w:val="24"/>
                <w:szCs w:val="20"/>
                <w:lang w:eastAsia="ru-RU" w:bidi="ar-SA"/>
              </w:rPr>
              <w:t>№</w:t>
            </w:r>
            <w:r w:rsidR="002E5AD1" w:rsidRPr="002E5AD1">
              <w:rPr>
                <w:color w:val="000000"/>
                <w:sz w:val="24"/>
                <w:szCs w:val="20"/>
                <w:lang w:eastAsia="ru-RU" w:bidi="ar-SA"/>
              </w:rPr>
              <w:t xml:space="preserve"> 1015 – ПГ</w:t>
            </w:r>
          </w:p>
        </w:tc>
      </w:tr>
      <w:tr w:rsidR="00DC0158" w:rsidRPr="00DC0158" w:rsidTr="002E5AD1">
        <w:trPr>
          <w:trHeight w:val="435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158" w:rsidRPr="00DC0158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2E5AD1">
              <w:rPr>
                <w:color w:val="000000"/>
                <w:sz w:val="22"/>
                <w:szCs w:val="18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6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12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Основное мероприятие 01.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2 390 850,45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805 547,27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1 706 284,00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573 544,00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653 373,45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221 676,27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3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Мероприятие 01.07.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1 688 042,31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563 676,77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5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1 483 647,00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8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173 202,31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58 800,77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7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7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7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94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Мероприятие 01.08.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10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8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9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1.3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Мероприятие 01.10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56 407,77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55 962,00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445,77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1.4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Мероприятие 01.11.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207 732,75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60 107,47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8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207 732,75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60 107,47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2E5AD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2E5AD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1.5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Мероприятие 01.12.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11 350,00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11 350,00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11 350,00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11 350,00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2E5AD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2E5AD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1.6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Мероприятие 01.17.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253 746,17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84 372,99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253 746,17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84 372,99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2E5AD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2E5AD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1.7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Мероприятие 01.18.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6 896,45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6 896,45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6 896,45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6 896,45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2E5AD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2E5AD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2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Основное мероприятие 02.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121 358,65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39 801,54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42 083,55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61 134,04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20 102,50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21 239,04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16 741,65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5 505,54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5 748,55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Мероприятие 02.08.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78 646,65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25 345,54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27 955,55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27 299,04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10 064,04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7 864,65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2 534,54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2 795,55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Мероприятие 02.10.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42 470,00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14 214,00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33 593,00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11 243,00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8 877,00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2 971,00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Доля </w:t>
            </w:r>
            <w:proofErr w:type="spellStart"/>
            <w:r w:rsidRPr="002E5AD1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2E5AD1">
              <w:rPr>
                <w:color w:val="000000"/>
                <w:szCs w:val="20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2E5AD1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2E5AD1">
              <w:rPr>
                <w:color w:val="000000"/>
                <w:szCs w:val="20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9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2.5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Мероприятие 02.14.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Основное мероприятие 07. 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Мероприятие 07.01.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  <w:bookmarkStart w:id="1" w:name="_GoBack"/>
        <w:bookmarkEnd w:id="1"/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2E5AD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2E5AD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Основное мероприятие 09: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3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Мероприятие 09.01.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6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8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37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Основное мероприятие EB: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91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5.1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 Мероприятие EB.01.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7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10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Основное мероприятие Е1: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6.1.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Мероприятие Е1.02.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Основное мероприятие Р2: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2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Мероприятие Р2.01. </w:t>
            </w:r>
            <w:r w:rsidRPr="002E5AD1">
              <w:rPr>
                <w:color w:val="000000"/>
                <w:szCs w:val="20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7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11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E5AD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9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00"/>
        </w:trPr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 Итого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2 879 372,17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1 128 273,88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874 244,15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876 854,14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DC0158" w:rsidRPr="002E5AD1" w:rsidTr="002E5AD1">
        <w:trPr>
          <w:trHeight w:val="420"/>
        </w:trPr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2 052 878,21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813 832,67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618 799,50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620 246,04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630"/>
        </w:trPr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748 978,10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288 964,81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229 876,15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230 137,14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315"/>
        </w:trPr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DC0158" w:rsidRPr="002E5AD1" w:rsidTr="002E5AD1">
        <w:trPr>
          <w:trHeight w:val="450"/>
        </w:trPr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77 515,86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25 476,40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25 568,50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26 470,96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E5AD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58" w:rsidRPr="002E5AD1" w:rsidRDefault="00DC0158" w:rsidP="00DC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624121" w:rsidRPr="002E5AD1" w:rsidRDefault="00624121" w:rsidP="00DC0158">
      <w:pPr>
        <w:pStyle w:val="ConsPlusCell"/>
        <w:pBdr>
          <w:top w:val="none" w:sz="4" w:space="30" w:color="000000"/>
        </w:pBdr>
        <w:jc w:val="both"/>
        <w:rPr>
          <w:rFonts w:ascii="Times New Roman" w:hAnsi="Times New Roman"/>
          <w:sz w:val="20"/>
          <w:szCs w:val="20"/>
        </w:rPr>
      </w:pPr>
    </w:p>
    <w:sectPr w:rsidR="00624121" w:rsidRPr="002E5AD1" w:rsidSect="00DC0158">
      <w:pgSz w:w="16838" w:h="11906" w:orient="landscape"/>
      <w:pgMar w:top="709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58" w:rsidRDefault="00DC0158">
      <w:r>
        <w:separator/>
      </w:r>
    </w:p>
  </w:endnote>
  <w:endnote w:type="continuationSeparator" w:id="0">
    <w:p w:rsidR="00DC0158" w:rsidRDefault="00DC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58" w:rsidRDefault="00DC015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58" w:rsidRDefault="00DC0158">
      <w:r>
        <w:separator/>
      </w:r>
    </w:p>
  </w:footnote>
  <w:footnote w:type="continuationSeparator" w:id="0">
    <w:p w:rsidR="00DC0158" w:rsidRDefault="00DC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58" w:rsidRPr="00DC0158" w:rsidRDefault="00DC0158" w:rsidP="00DC0158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A49D3"/>
    <w:rsid w:val="002A4C36"/>
    <w:rsid w:val="002A6573"/>
    <w:rsid w:val="002B18C7"/>
    <w:rsid w:val="002B372B"/>
    <w:rsid w:val="002C0F43"/>
    <w:rsid w:val="002E5AD1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F1A0C"/>
    <w:rsid w:val="00CF3AF9"/>
    <w:rsid w:val="00D36C52"/>
    <w:rsid w:val="00D54CBF"/>
    <w:rsid w:val="00D71105"/>
    <w:rsid w:val="00DA6493"/>
    <w:rsid w:val="00DA6F6E"/>
    <w:rsid w:val="00DB3216"/>
    <w:rsid w:val="00DC0158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6544A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309E"/>
    <w:rsid w:val="00F60668"/>
    <w:rsid w:val="00F64171"/>
    <w:rsid w:val="00F646DD"/>
    <w:rsid w:val="00F74B1D"/>
    <w:rsid w:val="00F76E8A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E0DC2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DC0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DC0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DC0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DC015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DC015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DC015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DC0158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DC0158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DC0158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DC0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DC0158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DC0158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DC0158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27">
    <w:name w:val="xl4727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28">
    <w:name w:val="xl4728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DC015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DC015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8">
    <w:name w:val="xl4738"/>
    <w:basedOn w:val="a"/>
    <w:rsid w:val="00DC015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9">
    <w:name w:val="xl4739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0">
    <w:name w:val="xl4740"/>
    <w:basedOn w:val="a"/>
    <w:rsid w:val="00DC0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1">
    <w:name w:val="xl4741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DC015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DC0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2">
    <w:name w:val="xl4752"/>
    <w:basedOn w:val="a"/>
    <w:rsid w:val="00DC0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3">
    <w:name w:val="xl4753"/>
    <w:basedOn w:val="a"/>
    <w:rsid w:val="00DC0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4">
    <w:name w:val="xl4754"/>
    <w:basedOn w:val="a"/>
    <w:rsid w:val="00DC015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5">
    <w:name w:val="xl4755"/>
    <w:basedOn w:val="a"/>
    <w:rsid w:val="00DC015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6">
    <w:name w:val="xl4756"/>
    <w:basedOn w:val="a"/>
    <w:rsid w:val="00DC015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1355-8C8B-4152-A55C-751F456F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2</cp:revision>
  <cp:lastPrinted>2023-09-26T13:34:00Z</cp:lastPrinted>
  <dcterms:created xsi:type="dcterms:W3CDTF">2023-10-17T07:29:00Z</dcterms:created>
  <dcterms:modified xsi:type="dcterms:W3CDTF">2023-10-17T07:29:00Z</dcterms:modified>
</cp:coreProperties>
</file>